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2660D">
      <w:pPr>
        <w:spacing w:before="100" w:beforeAutospacing="1" w:after="100" w:afterAutospacing="1" w:line="240" w:lineRule="auto"/>
        <w:ind w:left="1080"/>
        <w:jc w:val="center"/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  <w:u w:val="single"/>
        </w:rPr>
        <w:t xml:space="preserve">ExamenTD : Physiologie végétale   (Durée :01h) </w:t>
      </w:r>
    </w:p>
    <w:p w14:paraId="166C5B77">
      <w:r>
        <w:rPr>
          <w:b/>
          <w:bCs/>
        </w:rPr>
        <w:t>Exercice 01</w:t>
      </w:r>
      <w:r>
        <w:t xml:space="preserve">: Calculer  le  taux de croissance (TCR%)  et  le  vitesse de  croissance  (VC) en cm/jour d’une plante mesure 10 cm à J0 et 15 cm à J7. </w:t>
      </w:r>
    </w:p>
    <w:p w14:paraId="51ED6584">
      <w:pPr>
        <w:rPr>
          <w:rFonts w:hint="default"/>
          <w:lang w:val="fr-FR"/>
        </w:rPr>
      </w:pPr>
      <w:r>
        <w:rPr>
          <w:rFonts w:hint="default"/>
          <w:lang w:val="fr-FR"/>
        </w:rPr>
        <w:t>1/vitesse de croissance(VC):</w:t>
      </w:r>
    </w:p>
    <w:p w14:paraId="160D3C3A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VC=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(L2-L1)/</w:t>
      </w:r>
      <w:r>
        <w:rPr>
          <w:rFonts w:ascii="SimSun" w:hAnsi="SimSun" w:eastAsia="SimSun" w:cs="SimSun"/>
          <w:sz w:val="24"/>
          <w:szCs w:val="24"/>
        </w:rPr>
        <w:t>Δ</w:t>
      </w:r>
      <w:r>
        <w:rPr>
          <w:rFonts w:hint="default" w:ascii="SimSun" w:hAnsi="SimSun" w:eastAsia="SimSun" w:cs="SimSun"/>
          <w:sz w:val="24"/>
          <w:szCs w:val="24"/>
          <w:lang w:val="fr-FR"/>
        </w:rPr>
        <w:t>t</w:t>
      </w:r>
      <w:r>
        <w:rPr>
          <w:rFonts w:ascii="SimSun" w:hAnsi="SimSun" w:eastAsia="SimSun" w:cs="SimSun"/>
          <w:sz w:val="24"/>
          <w:szCs w:val="24"/>
        </w:rPr>
        <w:t>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(</w:t>
      </w:r>
      <w:r>
        <w:rPr>
          <w:rFonts w:ascii="SimSun" w:hAnsi="SimSun" w:eastAsia="SimSun" w:cs="SimSun"/>
          <w:sz w:val="24"/>
          <w:szCs w:val="24"/>
        </w:rPr>
        <w:t>15−10</w:t>
      </w:r>
      <w:r>
        <w:rPr>
          <w:rFonts w:hint="default" w:ascii="SimSun" w:hAnsi="SimSun" w:eastAsia="SimSun" w:cs="SimSun"/>
          <w:sz w:val="24"/>
          <w:szCs w:val="24"/>
          <w:lang w:val="fr-FR"/>
        </w:rPr>
        <w:t>)/7</w:t>
      </w:r>
      <w:r>
        <w:rPr>
          <w:rFonts w:ascii="SimSun" w:hAnsi="SimSun" w:eastAsia="SimSun" w:cs="SimSun"/>
          <w:sz w:val="24"/>
          <w:szCs w:val="24"/>
        </w:rPr>
        <w:t>=75​≈0,71 cm/jou</w:t>
      </w:r>
    </w:p>
    <w:p w14:paraId="667BCDD6">
      <w:pPr>
        <w:rPr>
          <w:rFonts w:hint="default" w:ascii="SimSun" w:hAnsi="SimSun" w:eastAsia="SimSun" w:cs="SimSun"/>
          <w:b/>
          <w:bCs/>
          <w:sz w:val="28"/>
          <w:szCs w:val="28"/>
          <w:lang w:val="fr-FR"/>
        </w:rPr>
      </w:pPr>
      <w:r>
        <w:rPr>
          <w:rFonts w:hint="default" w:ascii="SimSun" w:hAnsi="SimSun" w:eastAsia="SimSun" w:cs="SimSun"/>
          <w:b/>
          <w:bCs/>
          <w:sz w:val="28"/>
          <w:szCs w:val="28"/>
          <w:lang w:val="fr-FR"/>
        </w:rPr>
        <w:t>2/le taux de croissance (TCR):</w:t>
      </w:r>
    </w:p>
    <w:p w14:paraId="5FA43245">
      <w:pPr>
        <w:rPr>
          <w:rFonts w:hint="default" w:ascii="SimSun" w:hAnsi="SimSun" w:eastAsia="SimSun" w:cs="SimSun"/>
          <w:b/>
          <w:bCs/>
          <w:sz w:val="28"/>
          <w:szCs w:val="28"/>
          <w:lang w:val="fr-FR"/>
        </w:rPr>
      </w:pPr>
      <w:r>
        <w:rPr>
          <w:rFonts w:ascii="SimSun" w:hAnsi="SimSun" w:eastAsia="SimSun" w:cs="SimSun"/>
          <w:sz w:val="24"/>
          <w:szCs w:val="24"/>
        </w:rPr>
        <w:t>TCR=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(L-L2)/L1 *100</w:t>
      </w:r>
      <w:r>
        <w:rPr>
          <w:rFonts w:ascii="SimSun" w:hAnsi="SimSun" w:eastAsia="SimSun" w:cs="SimSun"/>
          <w:sz w:val="24"/>
          <w:szCs w:val="24"/>
        </w:rPr>
        <w:t>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(5/10)*100</w:t>
      </w:r>
      <w:r>
        <w:rPr>
          <w:rFonts w:ascii="SimSun" w:hAnsi="SimSun" w:eastAsia="SimSun" w:cs="SimSun"/>
          <w:sz w:val="24"/>
          <w:szCs w:val="24"/>
        </w:rPr>
        <w:t>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50%</w:t>
      </w:r>
    </w:p>
    <w:p w14:paraId="28A6F39A"/>
    <w:p w14:paraId="27DC255A"/>
    <w:p w14:paraId="4391AF55"/>
    <w:p w14:paraId="183962D9">
      <w:r>
        <w:rPr>
          <w:b/>
          <w:bCs/>
        </w:rPr>
        <w:t>Exercice 02</w:t>
      </w:r>
      <w:r>
        <w:t xml:space="preserve"> : Vous disposez d'une solution mère 100X et devez préparer 500 mL d'une solution 1X.</w:t>
      </w:r>
    </w:p>
    <w:p w14:paraId="309739E0">
      <w:r>
        <w:t>1. Quel volume de solution mère 100X devez-vous prélever ?</w:t>
      </w:r>
    </w:p>
    <w:p w14:paraId="13CA492A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C1</w:t>
      </w:r>
      <w:r>
        <w:rPr>
          <w:rFonts w:hint="default" w:ascii="SimSun" w:hAnsi="SimSun" w:eastAsia="SimSun" w:cs="SimSun"/>
          <w:sz w:val="24"/>
          <w:szCs w:val="24"/>
          <w:lang w:val="fr-FR"/>
        </w:rPr>
        <w:t>*</w:t>
      </w:r>
      <w:r>
        <w:rPr>
          <w:rFonts w:ascii="SimSun" w:hAnsi="SimSun" w:eastAsia="SimSun" w:cs="SimSun"/>
          <w:sz w:val="24"/>
          <w:szCs w:val="24"/>
        </w:rPr>
        <w:t>V1=C2</w:t>
      </w:r>
      <w:r>
        <w:rPr>
          <w:rFonts w:hint="default" w:ascii="SimSun" w:hAnsi="SimSun" w:eastAsia="SimSun" w:cs="SimSun"/>
          <w:sz w:val="24"/>
          <w:szCs w:val="24"/>
          <w:lang w:val="fr-FR"/>
        </w:rPr>
        <w:t>*</w:t>
      </w:r>
      <w:r>
        <w:rPr>
          <w:rFonts w:ascii="SimSun" w:hAnsi="SimSun" w:eastAsia="SimSun" w:cs="SimSun"/>
          <w:sz w:val="24"/>
          <w:szCs w:val="24"/>
        </w:rPr>
        <w:t>V2</w:t>
      </w:r>
    </w:p>
    <w:p w14:paraId="3494023E">
      <w:pPr>
        <w:rPr>
          <w:rFonts w:hint="default" w:ascii="SimSun" w:hAnsi="SimSun" w:eastAsia="SimSun" w:cs="SimSun"/>
          <w:sz w:val="24"/>
          <w:szCs w:val="24"/>
          <w:lang w:val="fr-FR"/>
        </w:rPr>
      </w:pPr>
      <w:r>
        <w:rPr>
          <w:rFonts w:hint="default" w:ascii="SimSun" w:hAnsi="SimSun" w:eastAsia="SimSun" w:cs="SimSun"/>
          <w:sz w:val="24"/>
          <w:szCs w:val="24"/>
          <w:lang w:val="fr-FR"/>
        </w:rPr>
        <w:t>100x*V1</w:t>
      </w:r>
      <w:r>
        <w:rPr>
          <w:rFonts w:ascii="SimSun" w:hAnsi="SimSun" w:eastAsia="SimSun" w:cs="SimSun"/>
          <w:sz w:val="24"/>
          <w:szCs w:val="24"/>
        </w:rPr>
        <w:t>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1x*500</w:t>
      </w:r>
    </w:p>
    <w:p w14:paraId="15ECB745">
      <w:pPr>
        <w:rPr>
          <w:rFonts w:hint="default" w:ascii="SimSun" w:hAnsi="SimSun" w:eastAsia="SimSun" w:cs="SimSun"/>
          <w:sz w:val="24"/>
          <w:szCs w:val="24"/>
          <w:lang w:val="fr-FR"/>
        </w:rPr>
      </w:pPr>
      <w:r>
        <w:rPr>
          <w:rFonts w:hint="default" w:ascii="SimSun" w:hAnsi="SimSun" w:eastAsia="SimSun" w:cs="SimSun"/>
          <w:sz w:val="24"/>
          <w:szCs w:val="24"/>
          <w:lang w:val="fr-FR"/>
        </w:rPr>
        <w:t>V1</w:t>
      </w:r>
      <w:r>
        <w:rPr>
          <w:rFonts w:ascii="SimSun" w:hAnsi="SimSun" w:eastAsia="SimSun" w:cs="SimSun"/>
          <w:sz w:val="24"/>
          <w:szCs w:val="24"/>
        </w:rPr>
        <w:t>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(500*1)/100</w:t>
      </w:r>
    </w:p>
    <w:p w14:paraId="22553C36">
      <w:pPr>
        <w:rPr>
          <w:rFonts w:hint="default" w:ascii="SimSun" w:hAnsi="SimSun" w:eastAsia="SimSun" w:cs="SimSun"/>
          <w:sz w:val="24"/>
          <w:szCs w:val="24"/>
          <w:lang w:val="fr-FR"/>
        </w:rPr>
      </w:pPr>
      <w:r>
        <w:rPr>
          <w:rFonts w:hint="default" w:ascii="SimSun" w:hAnsi="SimSun" w:eastAsia="SimSun" w:cs="SimSun"/>
          <w:sz w:val="24"/>
          <w:szCs w:val="24"/>
          <w:lang w:val="fr-FR"/>
        </w:rPr>
        <w:t>V1</w:t>
      </w:r>
      <w:r>
        <w:rPr>
          <w:rFonts w:ascii="SimSun" w:hAnsi="SimSun" w:eastAsia="SimSun" w:cs="SimSun"/>
          <w:sz w:val="24"/>
          <w:szCs w:val="24"/>
        </w:rPr>
        <w:t>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5ml</w:t>
      </w:r>
    </w:p>
    <w:p w14:paraId="47EDFECB">
      <w:r>
        <w:t>2. Expliquez le protocole pour préparer cette solution.</w:t>
      </w:r>
    </w:p>
    <w:p w14:paraId="10548392">
      <w:pPr>
        <w:rPr>
          <w:rFonts w:hint="default"/>
          <w:lang w:val="fr-FR"/>
        </w:rPr>
      </w:pPr>
      <w:r>
        <w:rPr>
          <w:rFonts w:hint="default"/>
          <w:lang w:val="fr-FR"/>
        </w:rPr>
        <w:t>Prélever 5ml de la solution mére 100x</w:t>
      </w:r>
    </w:p>
    <w:p w14:paraId="15CB4F71">
      <w:pPr>
        <w:rPr>
          <w:rFonts w:hint="default"/>
          <w:lang w:val="fr-FR"/>
        </w:rPr>
      </w:pPr>
      <w:r>
        <w:rPr>
          <w:rFonts w:hint="default"/>
          <w:lang w:val="fr-FR"/>
        </w:rPr>
        <w:t xml:space="preserve">Les verser dans une fiole jaugée de 500ml </w:t>
      </w:r>
    </w:p>
    <w:p w14:paraId="74A4B82D">
      <w:pPr>
        <w:rPr>
          <w:rFonts w:hint="default"/>
          <w:lang w:val="fr-FR"/>
        </w:rPr>
      </w:pPr>
      <w:r>
        <w:rPr>
          <w:rFonts w:hint="default"/>
          <w:lang w:val="fr-FR"/>
        </w:rPr>
        <w:t xml:space="preserve">Compléter avec l*eau distillée jusqu*au trait </w:t>
      </w:r>
    </w:p>
    <w:p w14:paraId="33B2D86D">
      <w:pPr>
        <w:rPr>
          <w:rFonts w:hint="default"/>
          <w:lang w:val="fr-FR"/>
        </w:rPr>
      </w:pPr>
      <w:r>
        <w:rPr>
          <w:rFonts w:hint="default"/>
          <w:lang w:val="fr-FR"/>
        </w:rPr>
        <w:t>homogénéiser</w:t>
      </w:r>
    </w:p>
    <w:p w14:paraId="15483901"/>
    <w:p w14:paraId="6A3AEBDF"/>
    <w:p w14:paraId="7177B994"/>
    <w:p w14:paraId="19174E5E"/>
    <w:p w14:paraId="012A5578">
      <w:r>
        <w:rPr>
          <w:b/>
          <w:bCs/>
        </w:rPr>
        <w:t xml:space="preserve">Exercice 03: </w:t>
      </w:r>
      <w:r>
        <w:t>Une racine est placée dans une solution contenant 5 g/L de glucose à 25°C.</w:t>
      </w:r>
    </w:p>
    <w:p w14:paraId="772D2786">
      <w:pPr>
        <w:numPr>
          <w:ilvl w:val="0"/>
          <w:numId w:val="1"/>
        </w:numPr>
      </w:pPr>
      <w:r>
        <w:t>En utilisant la formule de Van’t Hoff, calculez la pression osmotique de cette solution</w:t>
      </w:r>
    </w:p>
    <w:p w14:paraId="30A9FB6C">
      <w:pPr>
        <w:rPr>
          <w:rFonts w:hint="default"/>
          <w:lang w:val="fr-FR"/>
        </w:rPr>
      </w:pPr>
      <w:r>
        <w:rPr>
          <w:rFonts w:hint="default"/>
          <w:lang w:val="fr-FR"/>
        </w:rPr>
        <w:t>1/pression osmotique:</w:t>
      </w:r>
    </w:p>
    <w:p w14:paraId="3920E763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π=CRT</w:t>
      </w:r>
    </w:p>
    <w:p w14:paraId="5BAD1C28">
      <w:pPr>
        <w:rPr>
          <w:rFonts w:hint="default" w:ascii="SimSun" w:hAnsi="SimSun" w:eastAsia="SimSun" w:cs="SimSun"/>
          <w:sz w:val="24"/>
          <w:szCs w:val="24"/>
          <w:lang w:val="fr-FR"/>
        </w:rPr>
      </w:pPr>
      <w:r>
        <w:rPr>
          <w:rFonts w:ascii="SimSun" w:hAnsi="SimSun" w:eastAsia="SimSun" w:cs="SimSun"/>
          <w:sz w:val="24"/>
          <w:szCs w:val="24"/>
        </w:rPr>
        <w:t>Concentration molaire</w:t>
      </w:r>
      <w:r>
        <w:rPr>
          <w:rFonts w:hint="default" w:ascii="SimSun" w:hAnsi="SimSun" w:eastAsia="SimSun" w:cs="SimSun"/>
          <w:sz w:val="24"/>
          <w:szCs w:val="24"/>
          <w:lang w:val="fr-FR"/>
        </w:rPr>
        <w:t>:</w:t>
      </w:r>
    </w:p>
    <w:p w14:paraId="5D3C7760">
      <w:p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C=</w:t>
      </w:r>
      <w:r>
        <w:rPr>
          <w:rFonts w:hint="default" w:ascii="SimSun" w:hAnsi="SimSun" w:eastAsia="SimSun" w:cs="SimSun"/>
          <w:sz w:val="24"/>
          <w:szCs w:val="24"/>
          <w:lang w:val="fr-FR"/>
        </w:rPr>
        <w:t>(5/180)</w:t>
      </w:r>
      <w:r>
        <w:rPr>
          <w:rFonts w:ascii="SimSun" w:hAnsi="SimSun" w:eastAsia="SimSun" w:cs="SimSun"/>
          <w:sz w:val="24"/>
          <w:szCs w:val="24"/>
        </w:rPr>
        <w:t>​≈0,028 </w:t>
      </w:r>
    </w:p>
    <w:p w14:paraId="71F8F29F">
      <w:pPr>
        <w:rPr>
          <w:rFonts w:hint="default" w:ascii="SimSun" w:hAnsi="SimSun" w:eastAsia="SimSun" w:cs="SimSun"/>
          <w:sz w:val="24"/>
          <w:szCs w:val="24"/>
          <w:lang w:val="fr-FR"/>
        </w:rPr>
      </w:pPr>
      <w:r>
        <w:rPr>
          <w:rFonts w:ascii="SimSun" w:hAnsi="SimSun" w:eastAsia="SimSun" w:cs="SimSun"/>
          <w:sz w:val="24"/>
          <w:szCs w:val="24"/>
        </w:rPr>
        <w:t>π=0,028×0,082×298≈0,68atm</w:t>
      </w:r>
    </w:p>
    <w:p w14:paraId="199251FF"/>
    <w:p w14:paraId="1D60516C"/>
    <w:p w14:paraId="13204F0A"/>
    <w:p w14:paraId="5984EBF4">
      <w:r>
        <w:t>2. Déterminez si l'eau pénètre ou sort de la racine si la concentration cellulaire interne correspond à 10 g/L de glucose .</w:t>
      </w:r>
    </w:p>
    <w:p w14:paraId="5B5CC7C1">
      <w:pPr>
        <w:rPr>
          <w:rFonts w:hint="default"/>
          <w:lang w:val="fr-FR"/>
        </w:rPr>
      </w:pPr>
      <w:r>
        <w:rPr>
          <w:rFonts w:hint="default"/>
          <w:lang w:val="fr-FR"/>
        </w:rPr>
        <w:t xml:space="preserve">La concentration interne(10g/l)&gt;externe(5g/l): l*eau entre dans la racine </w:t>
      </w:r>
    </w:p>
    <w:p w14:paraId="7F86BBB8">
      <w:pPr>
        <w:rPr>
          <w:rFonts w:hint="default"/>
          <w:lang w:val="fr-FR"/>
        </w:rPr>
      </w:pPr>
    </w:p>
    <w:p w14:paraId="5F0641F2">
      <w:pPr>
        <w:rPr>
          <w:rFonts w:hint="default"/>
          <w:lang w:val="fr-FR"/>
        </w:rPr>
      </w:pPr>
    </w:p>
    <w:p w14:paraId="6A624CC7">
      <w:pPr>
        <w:rPr>
          <w:rFonts w:hint="default"/>
          <w:lang w:val="fr-FR"/>
        </w:rPr>
      </w:pPr>
    </w:p>
    <w:p w14:paraId="14F4AB6B">
      <w:pPr>
        <w:rPr>
          <w:rFonts w:hint="default"/>
          <w:lang w:val="fr-FR"/>
        </w:rPr>
      </w:pPr>
    </w:p>
    <w:p w14:paraId="5A5CC3D7">
      <w:pPr>
        <w:rPr>
          <w:rFonts w:hint="default"/>
          <w:lang w:val="fr-FR"/>
        </w:rPr>
      </w:pPr>
    </w:p>
    <w:p w14:paraId="49A3ED60">
      <w:pPr>
        <w:rPr>
          <w:rFonts w:hint="default"/>
          <w:lang w:val="fr-FR"/>
        </w:rPr>
      </w:pPr>
    </w:p>
    <w:p w14:paraId="07BEB668">
      <w:pPr>
        <w:rPr>
          <w:rFonts w:hint="default"/>
          <w:lang w:val="fr-FR"/>
        </w:rPr>
      </w:pPr>
    </w:p>
    <w:p w14:paraId="060CC7A2">
      <w:pPr>
        <w:rPr>
          <w:rFonts w:hint="default"/>
          <w:lang w:val="fr-FR"/>
        </w:rPr>
      </w:pPr>
    </w:p>
    <w:p w14:paraId="6EE771E4">
      <w:pPr>
        <w:rPr>
          <w:rFonts w:hint="default"/>
          <w:lang w:val="fr-FR"/>
        </w:rPr>
      </w:pPr>
    </w:p>
    <w:p w14:paraId="474C0D08">
      <w:pPr>
        <w:rPr>
          <w:rFonts w:hint="default"/>
          <w:lang w:val="fr-FR"/>
        </w:rPr>
      </w:pPr>
    </w:p>
    <w:p w14:paraId="568A3C5D">
      <w:pPr>
        <w:rPr>
          <w:rFonts w:hint="default"/>
          <w:lang w:val="fr-FR"/>
        </w:rPr>
      </w:pPr>
    </w:p>
    <w:p w14:paraId="6E322A96">
      <w:pPr>
        <w:rPr>
          <w:rFonts w:hint="default"/>
          <w:lang w:val="fr-FR"/>
        </w:rPr>
      </w:pPr>
    </w:p>
    <w:p w14:paraId="4490A38B">
      <w:pPr>
        <w:rPr>
          <w:rFonts w:hint="default"/>
          <w:lang w:val="fr-FR"/>
        </w:rPr>
      </w:pPr>
    </w:p>
    <w:p w14:paraId="5113D4C6">
      <w:pPr>
        <w:rPr>
          <w:rFonts w:hint="default"/>
          <w:lang w:val="fr-FR"/>
        </w:rPr>
      </w:pPr>
    </w:p>
    <w:p w14:paraId="5BA591CF">
      <w:pPr>
        <w:rPr>
          <w:rFonts w:hint="default"/>
          <w:lang w:val="fr-FR"/>
        </w:rPr>
      </w:pPr>
    </w:p>
    <w:p w14:paraId="1221AF93">
      <w:pPr>
        <w:rPr>
          <w:rFonts w:hint="default"/>
          <w:lang w:val="fr-FR"/>
        </w:rPr>
      </w:pPr>
    </w:p>
    <w:p w14:paraId="7161FA21">
      <w:pPr>
        <w:rPr>
          <w:rFonts w:hint="default"/>
          <w:lang w:val="fr-FR"/>
        </w:rPr>
      </w:pPr>
    </w:p>
    <w:p w14:paraId="35F857D0">
      <w:pPr>
        <w:rPr>
          <w:rFonts w:hint="default"/>
          <w:lang w:val="fr-FR"/>
        </w:rPr>
      </w:pPr>
    </w:p>
    <w:p w14:paraId="6A69B423">
      <w:pPr>
        <w:rPr>
          <w:rFonts w:hint="default"/>
          <w:lang w:val="fr-FR"/>
        </w:rPr>
      </w:pPr>
    </w:p>
    <w:p w14:paraId="6D70B1DC">
      <w:pPr>
        <w:rPr>
          <w:rFonts w:hint="default"/>
          <w:lang w:val="fr-FR"/>
        </w:rPr>
      </w:pPr>
    </w:p>
    <w:p w14:paraId="2FB080D0">
      <w:pPr>
        <w:rPr>
          <w:rFonts w:hint="default"/>
          <w:lang w:val="fr-FR"/>
        </w:rPr>
      </w:pPr>
    </w:p>
    <w:p w14:paraId="0675F2C6">
      <w:pPr>
        <w:rPr>
          <w:rFonts w:hint="default"/>
          <w:lang w:val="fr-FR"/>
        </w:rPr>
      </w:pPr>
    </w:p>
    <w:p w14:paraId="43EADE80">
      <w:pPr>
        <w:rPr>
          <w:rFonts w:hint="default"/>
          <w:lang w:val="fr-FR"/>
        </w:rPr>
      </w:pPr>
    </w:p>
    <w:p w14:paraId="344B33C3">
      <w:pPr>
        <w:rPr>
          <w:rFonts w:hint="default"/>
          <w:lang w:val="fr-FR"/>
        </w:rPr>
      </w:pPr>
    </w:p>
    <w:p w14:paraId="454E80FD">
      <w:pPr>
        <w:rPr>
          <w:rFonts w:hint="default"/>
          <w:lang w:val="fr-FR"/>
        </w:rPr>
      </w:pPr>
    </w:p>
    <w:p w14:paraId="140F06CC">
      <w:pPr>
        <w:rPr>
          <w:rFonts w:hint="default"/>
          <w:lang w:val="fr-FR"/>
        </w:rPr>
      </w:pPr>
    </w:p>
    <w:p w14:paraId="466A85F4">
      <w:pPr>
        <w:rPr>
          <w:rFonts w:hint="default"/>
          <w:lang w:val="fr-FR"/>
        </w:rPr>
      </w:pPr>
    </w:p>
    <w:p w14:paraId="188FC9C4">
      <w:pPr>
        <w:rPr>
          <w:rFonts w:hint="default"/>
          <w:lang w:val="fr-FR"/>
        </w:rPr>
      </w:pPr>
    </w:p>
    <w:p w14:paraId="1372CBFD">
      <w:pPr>
        <w:rPr>
          <w:rFonts w:hint="default"/>
          <w:lang w:val="fr-FR"/>
        </w:rPr>
      </w:pPr>
    </w:p>
    <w:p w14:paraId="5CCA1472">
      <w:pPr>
        <w:rPr>
          <w:rFonts w:hint="default"/>
          <w:lang w:val="fr-FR"/>
        </w:rPr>
      </w:pPr>
    </w:p>
    <w:p w14:paraId="23ED6974">
      <w:pPr>
        <w:rPr>
          <w:rFonts w:hint="default"/>
          <w:lang w:val="fr-FR"/>
        </w:rPr>
      </w:pPr>
    </w:p>
    <w:p w14:paraId="6A1EC4F3">
      <w:pPr>
        <w:rPr>
          <w:rFonts w:hint="default"/>
          <w:lang w:val="fr-FR"/>
        </w:rPr>
      </w:pPr>
    </w:p>
    <w:p w14:paraId="04335628">
      <w:pPr>
        <w:rPr>
          <w:rFonts w:hint="default"/>
          <w:lang w:val="fr-FR"/>
        </w:rPr>
      </w:pPr>
    </w:p>
    <w:p w14:paraId="4CE70EFD">
      <w:pPr>
        <w:rPr>
          <w:rFonts w:hint="default"/>
          <w:lang w:val="fr-FR"/>
        </w:rPr>
      </w:pPr>
    </w:p>
    <w:p w14:paraId="03F2721C">
      <w:pPr>
        <w:rPr>
          <w:rFonts w:hint="default"/>
          <w:lang w:val="fr-FR"/>
        </w:rPr>
      </w:pPr>
    </w:p>
    <w:p w14:paraId="24C0A47F">
      <w:pPr>
        <w:rPr>
          <w:rFonts w:hint="default"/>
          <w:lang w:val="fr-FR"/>
        </w:rPr>
      </w:pPr>
    </w:p>
    <w:p w14:paraId="50541374">
      <w:pPr>
        <w:rPr>
          <w:rFonts w:hint="default"/>
          <w:lang w:val="fr-FR"/>
        </w:rPr>
      </w:pPr>
    </w:p>
    <w:p w14:paraId="0AFE10D0">
      <w:pPr>
        <w:rPr>
          <w:rFonts w:hint="default"/>
          <w:lang w:val="fr-FR"/>
        </w:rPr>
      </w:pPr>
    </w:p>
    <w:p w14:paraId="0490D112">
      <w:pPr>
        <w:rPr>
          <w:rFonts w:hint="default"/>
          <w:lang w:val="fr-FR"/>
        </w:rPr>
      </w:pPr>
    </w:p>
    <w:p w14:paraId="372EE91A">
      <w:pPr>
        <w:rPr>
          <w:rFonts w:hint="default"/>
          <w:lang w:val="fr-FR"/>
        </w:rPr>
      </w:pPr>
    </w:p>
    <w:p w14:paraId="1CA6DAB9">
      <w:pPr>
        <w:rPr>
          <w:rFonts w:hint="default"/>
          <w:lang w:val="fr-FR"/>
        </w:rPr>
      </w:pPr>
    </w:p>
    <w:p w14:paraId="5B592C17">
      <w:pPr>
        <w:rPr>
          <w:rFonts w:hint="default"/>
          <w:lang w:val="fr-FR"/>
        </w:rPr>
      </w:pPr>
    </w:p>
    <w:p w14:paraId="62D80A2E">
      <w:pPr>
        <w:rPr>
          <w:rFonts w:hint="default"/>
          <w:lang w:val="fr-FR"/>
        </w:rPr>
      </w:pPr>
    </w:p>
    <w:p w14:paraId="11682855"/>
    <w:p w14:paraId="0EBFA15A"/>
    <w:p w14:paraId="41A2CD07">
      <w:pPr>
        <w:numPr>
          <w:ilvl w:val="0"/>
          <w:numId w:val="1"/>
        </w:numPr>
        <w:ind w:left="0" w:leftChars="0" w:firstLine="0" w:firstLineChars="0"/>
      </w:pPr>
      <w:r>
        <w:t>Quel est l’état dans lequel se trouve  la cellule</w:t>
      </w:r>
    </w:p>
    <w:p w14:paraId="7DCEA3CC">
      <w:pPr>
        <w:numPr>
          <w:ilvl w:val="0"/>
          <w:numId w:val="0"/>
        </w:numPr>
        <w:ind w:leftChars="0"/>
        <w:rPr>
          <w:rFonts w:hint="default"/>
          <w:lang w:val="fr-FR"/>
        </w:rPr>
      </w:pPr>
      <w:r>
        <w:rPr>
          <w:rFonts w:hint="default"/>
          <w:lang w:val="fr-FR"/>
        </w:rPr>
        <w:t>3/état de la cellule: turgescente</w:t>
      </w:r>
    </w:p>
    <w:p w14:paraId="1B1B5C57">
      <w:r>
        <w:rPr>
          <w:b/>
          <w:bCs/>
        </w:rPr>
        <w:t>Exercice 04</w:t>
      </w:r>
      <w:r>
        <w:t>:  voici la figure ci-dessous illustre une phase  de processus de croissance .</w:t>
      </w:r>
    </w:p>
    <w:p w14:paraId="03B229AF"/>
    <w:p w14:paraId="6380AC5F">
      <w:pPr>
        <w:jc w:val="center"/>
      </w:pPr>
      <w:r>
        <w:rPr>
          <w:lang w:val="fr-FR"/>
        </w:rPr>
        <w:drawing>
          <wp:inline distT="0" distB="0" distL="0" distR="0">
            <wp:extent cx="4665980" cy="1653540"/>
            <wp:effectExtent l="0" t="0" r="1270" b="3810"/>
            <wp:docPr id="2" name="Image 2" descr="C:\Users\aida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aida\Desktop\Captur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6" t="3164" r="3577" b="20733"/>
                    <a:stretch>
                      <a:fillRect/>
                    </a:stretch>
                  </pic:blipFill>
                  <pic:spPr>
                    <a:xfrm>
                      <a:off x="0" y="0"/>
                      <a:ext cx="4681520" cy="1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5DB44">
      <w:pPr>
        <w:rPr>
          <w:b/>
          <w:bCs/>
        </w:rPr>
      </w:pPr>
      <w:r>
        <w:rPr>
          <w:b/>
          <w:bCs/>
        </w:rPr>
        <w:t>Questions :</w:t>
      </w:r>
    </w:p>
    <w:p w14:paraId="4D268023">
      <w:pPr>
        <w:numPr>
          <w:ilvl w:val="0"/>
          <w:numId w:val="2"/>
        </w:numPr>
      </w:pPr>
      <w:r>
        <w:t>Qu’est ce qu’elle represente cette figure?</w:t>
      </w:r>
    </w:p>
    <w:p w14:paraId="63857059">
      <w:pPr>
        <w:numPr>
          <w:ilvl w:val="0"/>
          <w:numId w:val="0"/>
        </w:numPr>
      </w:pPr>
      <w:r>
        <w:rPr>
          <w:rFonts w:ascii="SimSun" w:hAnsi="SimSun" w:eastAsia="SimSun" w:cs="SimSun"/>
          <w:sz w:val="24"/>
          <w:szCs w:val="24"/>
        </w:rPr>
        <w:t xml:space="preserve">La figure représente </w:t>
      </w:r>
      <w:r>
        <w:rPr>
          <w:rStyle w:val="12"/>
          <w:rFonts w:ascii="SimSun" w:hAnsi="SimSun" w:eastAsia="SimSun" w:cs="SimSun"/>
          <w:sz w:val="24"/>
          <w:szCs w:val="24"/>
        </w:rPr>
        <w:t>l’effet de l’auxine (AIA)</w:t>
      </w:r>
      <w:r>
        <w:rPr>
          <w:rFonts w:ascii="SimSun" w:hAnsi="SimSun" w:eastAsia="SimSun" w:cs="SimSun"/>
          <w:sz w:val="24"/>
          <w:szCs w:val="24"/>
        </w:rPr>
        <w:t xml:space="preserve"> sur la croissance des </w:t>
      </w:r>
      <w:r>
        <w:rPr>
          <w:rStyle w:val="12"/>
          <w:rFonts w:ascii="SimSun" w:hAnsi="SimSun" w:eastAsia="SimSun" w:cs="SimSun"/>
          <w:sz w:val="24"/>
          <w:szCs w:val="24"/>
        </w:rPr>
        <w:t>tiges, bourgeons et racines</w:t>
      </w:r>
      <w:r>
        <w:rPr>
          <w:rFonts w:ascii="SimSun" w:hAnsi="SimSun" w:eastAsia="SimSun" w:cs="SimSun"/>
          <w:sz w:val="24"/>
          <w:szCs w:val="24"/>
        </w:rPr>
        <w:t xml:space="preserve"> selon la</w:t>
      </w:r>
    </w:p>
    <w:p w14:paraId="2BB6B730"/>
    <w:p w14:paraId="6BD40802">
      <w:r>
        <w:t>2. Comparez les effets de l’AIA sur la croissance des tiges ,  bourgeons et des racines</w:t>
      </w:r>
      <w:r>
        <w:rPr>
          <w:rFonts w:hint="default"/>
          <w:lang w:val="fr-FR"/>
        </w:rPr>
        <w:t>:</w:t>
      </w:r>
      <w:r>
        <w:t xml:space="preserve"> Justifiez pourquoi ces tissus réagissent différemment?.</w:t>
      </w:r>
    </w:p>
    <w:p w14:paraId="42BF3F01">
      <w:pPr>
        <w:rPr>
          <w:rFonts w:hint="default"/>
          <w:lang w:val="fr-FR"/>
        </w:rPr>
      </w:pPr>
      <w:r>
        <w:rPr>
          <w:rFonts w:hint="default"/>
          <w:lang w:val="fr-FR"/>
        </w:rPr>
        <w:t>racines: trés sensible ,stimulées à faibles doses ,inhibées à fortes doses</w:t>
      </w:r>
    </w:p>
    <w:p w14:paraId="36DB0BA4">
      <w:pPr>
        <w:rPr>
          <w:rFonts w:hint="default"/>
          <w:lang w:val="fr-FR"/>
        </w:rPr>
      </w:pPr>
      <w:r>
        <w:rPr>
          <w:rFonts w:hint="default"/>
          <w:lang w:val="fr-FR"/>
        </w:rPr>
        <w:t xml:space="preserve">Tiges:nécessitent </w:t>
      </w:r>
      <w:bookmarkStart w:id="0" w:name="_GoBack"/>
      <w:bookmarkEnd w:id="0"/>
      <w:r>
        <w:rPr>
          <w:rFonts w:hint="default"/>
          <w:lang w:val="fr-FR"/>
        </w:rPr>
        <w:t>des doses plus élevées pour l*élongation</w:t>
      </w:r>
    </w:p>
    <w:p w14:paraId="11C7201C">
      <w:pPr>
        <w:rPr>
          <w:rFonts w:hint="default"/>
          <w:lang w:val="fr-FR"/>
        </w:rPr>
      </w:pPr>
      <w:r>
        <w:rPr>
          <w:rFonts w:hint="default"/>
          <w:lang w:val="fr-FR"/>
        </w:rPr>
        <w:t>Bourgeons: sensibilité intermédiaire</w:t>
      </w:r>
    </w:p>
    <w:p w14:paraId="004A0BFD">
      <w:pPr>
        <w:rPr>
          <w:rFonts w:hint="default"/>
          <w:b/>
          <w:bCs/>
          <w:i/>
          <w:iCs/>
          <w:u w:val="double"/>
          <w:lang w:val="fr-FR"/>
        </w:rPr>
      </w:pPr>
      <w:r>
        <w:rPr>
          <w:rFonts w:hint="default"/>
          <w:u w:val="double"/>
          <w:lang w:val="fr-FR"/>
        </w:rPr>
        <w:t>Justification:</w:t>
      </w:r>
    </w:p>
    <w:p w14:paraId="7BD4ECE9">
      <w:pPr>
        <w:rPr>
          <w:rFonts w:hint="default"/>
          <w:b w:val="0"/>
          <w:bCs w:val="0"/>
          <w:i/>
          <w:iCs/>
          <w:u w:val="none"/>
          <w:lang w:val="fr-FR"/>
        </w:rPr>
      </w:pPr>
      <w:r>
        <w:rPr>
          <w:rFonts w:hint="default"/>
          <w:b w:val="0"/>
          <w:bCs w:val="0"/>
          <w:i/>
          <w:iCs/>
          <w:u w:val="none"/>
          <w:lang w:val="fr-FR"/>
        </w:rPr>
        <w:t>Différences de sensibilité hormonale</w:t>
      </w:r>
    </w:p>
    <w:p w14:paraId="3DE0EFF1"/>
    <w:p w14:paraId="219B8E2A"/>
    <w:p w14:paraId="67A99CC0"/>
    <w:p w14:paraId="70EF5421"/>
    <w:p w14:paraId="287B62C9"/>
    <w:p w14:paraId="208988F8"/>
    <w:p w14:paraId="7961BD93"/>
    <w:p w14:paraId="35B2A61E"/>
    <w:p w14:paraId="5DC4E4EE"/>
    <w:p w14:paraId="6DD41EE8"/>
    <w:p w14:paraId="5D8D920A"/>
    <w:p w14:paraId="68499FAA"/>
    <w:p w14:paraId="51F72841">
      <w:r>
        <w:t>3. En utilisant les données de la figure, proposez une hypothèse sur le rôle de l’AIA dans  le processus de croissance des plantes.</w:t>
      </w:r>
    </w:p>
    <w:p w14:paraId="5BE0D33D">
      <w:pPr>
        <w:rPr>
          <w:b/>
          <w:bCs/>
        </w:rPr>
      </w:pPr>
    </w:p>
    <w:p w14:paraId="5B14A8AC">
      <w:pPr>
        <w:rPr>
          <w:b/>
          <w:bCs/>
        </w:rPr>
      </w:pPr>
    </w:p>
    <w:p w14:paraId="4297B357">
      <w:pPr>
        <w:rPr>
          <w:b/>
          <w:bCs/>
        </w:rPr>
      </w:pPr>
    </w:p>
    <w:p w14:paraId="2EBC407B"/>
    <w:p w14:paraId="0702896D"/>
    <w:p w14:paraId="3DE7659B"/>
    <w:p w14:paraId="77E07BFB"/>
    <w:p w14:paraId="7A015752"/>
    <w:p w14:paraId="207FF0D5"/>
    <w:p w14:paraId="254918E7"/>
    <w:p w14:paraId="3658F5AE"/>
    <w:p w14:paraId="701F22FF"/>
    <w:p w14:paraId="758E8572"/>
    <w:p w14:paraId="0DD5DA46"/>
    <w:p w14:paraId="60235C89"/>
    <w:p w14:paraId="47A1DAF2"/>
    <w:p w14:paraId="27595453"/>
    <w:p w14:paraId="2904C8E6"/>
    <w:p w14:paraId="379BE3BE"/>
    <w:p w14:paraId="727CAEBC"/>
    <w:p w14:paraId="39FEFE7B">
      <w:r>
        <w:tab/>
      </w:r>
    </w:p>
    <w:p w14:paraId="63A5F118"/>
    <w:sectPr>
      <w:headerReference r:id="rId5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D06E3">
    <w:pPr>
      <w:spacing w:after="100" w:afterAutospacing="1" w:line="240" w:lineRule="auto"/>
      <w:ind w:left="1080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Université de Saida Dr.Moulay Tahar Faculté de sciences de la nature et de la vie Département d’agronomie et science de nutrition – 2TC Agronomie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BC0C95"/>
    <w:multiLevelType w:val="singleLevel"/>
    <w:tmpl w:val="A8BC0C9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1974A81"/>
    <w:multiLevelType w:val="singleLevel"/>
    <w:tmpl w:val="B1974A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5CF"/>
    <w:rsid w:val="000F0CEC"/>
    <w:rsid w:val="000F339B"/>
    <w:rsid w:val="001D05CF"/>
    <w:rsid w:val="00215B0C"/>
    <w:rsid w:val="00264AA4"/>
    <w:rsid w:val="002A57B4"/>
    <w:rsid w:val="002F053C"/>
    <w:rsid w:val="00350257"/>
    <w:rsid w:val="004142CC"/>
    <w:rsid w:val="00610602"/>
    <w:rsid w:val="006353CD"/>
    <w:rsid w:val="00677205"/>
    <w:rsid w:val="006A11CE"/>
    <w:rsid w:val="00861720"/>
    <w:rsid w:val="008C7077"/>
    <w:rsid w:val="00957301"/>
    <w:rsid w:val="00A537AF"/>
    <w:rsid w:val="00A7755E"/>
    <w:rsid w:val="00A93C6C"/>
    <w:rsid w:val="00AC11BA"/>
    <w:rsid w:val="00AF1D15"/>
    <w:rsid w:val="00B75A83"/>
    <w:rsid w:val="00BB6361"/>
    <w:rsid w:val="00CD66FE"/>
    <w:rsid w:val="00D367F8"/>
    <w:rsid w:val="00DC28AB"/>
    <w:rsid w:val="00DC6FD5"/>
    <w:rsid w:val="00E216AC"/>
    <w:rsid w:val="00E42559"/>
    <w:rsid w:val="101910F7"/>
    <w:rsid w:val="25DD2D5B"/>
    <w:rsid w:val="75393395"/>
    <w:rsid w:val="7769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fr-FR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22"/>
    <w:rPr>
      <w:b/>
      <w:bCs/>
    </w:rPr>
  </w:style>
  <w:style w:type="paragraph" w:styleId="13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val="fr-FR"/>
      <w14:ligatures w14:val="none"/>
    </w:rPr>
  </w:style>
  <w:style w:type="paragraph" w:styleId="15">
    <w:name w:val="footer"/>
    <w:basedOn w:val="1"/>
    <w:link w:val="3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head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7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Titre 3 C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2">
    <w:name w:val="Titre 4 C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3">
    <w:name w:val="Titre 5 C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4">
    <w:name w:val="Titre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re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itre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re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re C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ous-titre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Citation C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Citation intense Car"/>
    <w:basedOn w:val="11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En-tête Car"/>
    <w:basedOn w:val="11"/>
    <w:link w:val="16"/>
    <w:qFormat/>
    <w:uiPriority w:val="99"/>
  </w:style>
  <w:style w:type="character" w:customStyle="1" w:styleId="38">
    <w:name w:val="Pied de page Car"/>
    <w:basedOn w:val="11"/>
    <w:link w:val="1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192</Words>
  <Characters>1056</Characters>
  <Lines>8</Lines>
  <Paragraphs>2</Paragraphs>
  <TotalTime>32</TotalTime>
  <ScaleCrop>false</ScaleCrop>
  <LinksUpToDate>false</LinksUpToDate>
  <CharactersWithSpaces>1246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2024-12-10T08:44:00Z</dcterms:created>
  <dc:creator>AIDA BASS</dc:creator>
  <cp:lastModifiedBy>akli ouldouali</cp:lastModifiedBy>
  <dcterms:modified xsi:type="dcterms:W3CDTF">2026-01-17T20:28:35Z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1036-12.2.0.23196</vt:lpwstr>
  </property>
  <property fmtid="{D5CDD505-2E9C-101B-9397-08002B2CF9AE}" pid="3" name="ICV">
    <vt:lpwstr>E12880BF33434BD5BAF1F1ACA3257E25_13</vt:lpwstr>
  </property>
</Properties>
</file>